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F42" w:rsidRPr="009A7486" w:rsidRDefault="00F6433A" w:rsidP="00ED6A4B">
      <w:pPr>
        <w:tabs>
          <w:tab w:val="left" w:pos="450"/>
          <w:tab w:val="left" w:pos="4590"/>
          <w:tab w:val="right" w:pos="9630"/>
        </w:tabs>
        <w:autoSpaceDE w:val="0"/>
        <w:autoSpaceDN w:val="0"/>
        <w:adjustRightInd w:val="0"/>
        <w:jc w:val="both"/>
        <w:rPr>
          <w:b/>
          <w:sz w:val="22"/>
          <w:szCs w:val="22"/>
        </w:rPr>
      </w:pPr>
      <w:r>
        <w:rPr>
          <w:b/>
          <w:bCs/>
          <w:sz w:val="22"/>
          <w:szCs w:val="22"/>
        </w:rPr>
        <w:t>==========================================================================</w:t>
      </w:r>
      <w:r w:rsidR="001C0F42" w:rsidRPr="009A7486">
        <w:rPr>
          <w:b/>
          <w:bCs/>
          <w:sz w:val="22"/>
          <w:szCs w:val="22"/>
        </w:rPr>
        <w:t xml:space="preserve"> Title:  Investment Analysis</w:t>
      </w:r>
      <w:r w:rsidR="001C0F42" w:rsidRPr="009A7486">
        <w:rPr>
          <w:b/>
          <w:bCs/>
          <w:sz w:val="22"/>
          <w:szCs w:val="22"/>
        </w:rPr>
        <w:tab/>
      </w:r>
      <w:r w:rsidR="001264CB">
        <w:rPr>
          <w:b/>
          <w:bCs/>
          <w:sz w:val="22"/>
          <w:szCs w:val="22"/>
        </w:rPr>
        <w:t>Code</w:t>
      </w:r>
      <w:r w:rsidR="001C0F42" w:rsidRPr="009A7486">
        <w:rPr>
          <w:b/>
          <w:bCs/>
          <w:sz w:val="22"/>
          <w:szCs w:val="22"/>
        </w:rPr>
        <w:t xml:space="preserve">: </w:t>
      </w:r>
      <w:r w:rsidR="001C0F42" w:rsidRPr="009A7486">
        <w:rPr>
          <w:b/>
          <w:sz w:val="22"/>
          <w:szCs w:val="22"/>
        </w:rPr>
        <w:t xml:space="preserve">FIN 546            </w:t>
      </w:r>
    </w:p>
    <w:p w:rsidR="001C0F42" w:rsidRPr="009A7486" w:rsidRDefault="00F77EFF" w:rsidP="00ED6A4B">
      <w:pPr>
        <w:pBdr>
          <w:bottom w:val="double" w:sz="6" w:space="1" w:color="auto"/>
        </w:pBdr>
        <w:tabs>
          <w:tab w:val="left" w:pos="450"/>
          <w:tab w:val="left" w:pos="4590"/>
          <w:tab w:val="right" w:pos="9270"/>
        </w:tabs>
        <w:autoSpaceDE w:val="0"/>
        <w:autoSpaceDN w:val="0"/>
        <w:adjustRightInd w:val="0"/>
        <w:jc w:val="both"/>
        <w:rPr>
          <w:b/>
          <w:sz w:val="22"/>
          <w:szCs w:val="22"/>
        </w:rPr>
      </w:pPr>
      <w:r>
        <w:rPr>
          <w:b/>
          <w:bCs/>
          <w:sz w:val="22"/>
          <w:szCs w:val="22"/>
        </w:rPr>
        <w:t xml:space="preserve">Credit Hours: </w:t>
      </w:r>
      <w:r w:rsidRPr="009A7486">
        <w:rPr>
          <w:b/>
          <w:bCs/>
          <w:sz w:val="22"/>
          <w:szCs w:val="22"/>
        </w:rPr>
        <w:t xml:space="preserve">3        </w:t>
      </w:r>
      <w:r>
        <w:rPr>
          <w:b/>
          <w:bCs/>
          <w:sz w:val="22"/>
          <w:szCs w:val="22"/>
        </w:rPr>
        <w:tab/>
      </w:r>
      <w:r w:rsidR="001C0F42" w:rsidRPr="009A7486">
        <w:rPr>
          <w:b/>
          <w:sz w:val="22"/>
          <w:szCs w:val="22"/>
        </w:rPr>
        <w:t>Year /Semester: II/IV</w:t>
      </w:r>
      <w:r w:rsidR="001C0F42" w:rsidRPr="009A7486">
        <w:rPr>
          <w:sz w:val="22"/>
          <w:szCs w:val="22"/>
        </w:rPr>
        <w:t xml:space="preserve">         </w:t>
      </w:r>
      <w:r>
        <w:rPr>
          <w:sz w:val="22"/>
          <w:szCs w:val="22"/>
        </w:rPr>
        <w:tab/>
      </w:r>
      <w:r w:rsidR="001C0F42" w:rsidRPr="009A7486">
        <w:rPr>
          <w:b/>
          <w:bCs/>
          <w:sz w:val="22"/>
          <w:szCs w:val="22"/>
        </w:rPr>
        <w:t xml:space="preserve"> </w:t>
      </w:r>
      <w:r w:rsidR="002758D7">
        <w:rPr>
          <w:b/>
          <w:sz w:val="22"/>
          <w:szCs w:val="22"/>
        </w:rPr>
        <w:t>48 Hours</w:t>
      </w:r>
    </w:p>
    <w:p w:rsidR="001C0F42" w:rsidRPr="002758D7" w:rsidRDefault="001C0F42" w:rsidP="00ED6A4B">
      <w:pPr>
        <w:tabs>
          <w:tab w:val="left" w:pos="540"/>
          <w:tab w:val="left" w:pos="570"/>
          <w:tab w:val="left" w:pos="2475"/>
          <w:tab w:val="left" w:pos="3870"/>
          <w:tab w:val="center" w:pos="4680"/>
          <w:tab w:val="right" w:pos="9000"/>
        </w:tabs>
        <w:spacing w:before="120" w:line="288" w:lineRule="auto"/>
        <w:jc w:val="both"/>
        <w:rPr>
          <w:sz w:val="22"/>
          <w:szCs w:val="22"/>
        </w:rPr>
      </w:pPr>
      <w:r w:rsidRPr="002758D7">
        <w:rPr>
          <w:b/>
          <w:bCs/>
          <w:sz w:val="22"/>
          <w:szCs w:val="22"/>
        </w:rPr>
        <w:t>Course Objectives:</w:t>
      </w:r>
      <w:r w:rsidRPr="002758D7">
        <w:rPr>
          <w:sz w:val="22"/>
          <w:szCs w:val="22"/>
        </w:rPr>
        <w:t xml:space="preserve"> </w:t>
      </w:r>
    </w:p>
    <w:p w:rsidR="001C0F42" w:rsidRPr="009A7486" w:rsidRDefault="001C0F42" w:rsidP="00ED6A4B">
      <w:pPr>
        <w:tabs>
          <w:tab w:val="left" w:pos="540"/>
          <w:tab w:val="left" w:pos="570"/>
          <w:tab w:val="left" w:pos="2475"/>
          <w:tab w:val="left" w:pos="3870"/>
          <w:tab w:val="center" w:pos="4680"/>
          <w:tab w:val="right" w:pos="9000"/>
        </w:tabs>
        <w:spacing w:before="80" w:line="288" w:lineRule="auto"/>
        <w:jc w:val="both"/>
        <w:rPr>
          <w:b/>
          <w:bCs/>
          <w:iCs/>
          <w:sz w:val="22"/>
          <w:szCs w:val="22"/>
        </w:rPr>
      </w:pPr>
      <w:r w:rsidRPr="009A7486">
        <w:rPr>
          <w:iCs/>
          <w:sz w:val="22"/>
          <w:szCs w:val="22"/>
        </w:rPr>
        <w:t>This course aims to provide the students with basic understandings of investment and investment alternatives. This course enables the students to evaluate various investment securities and the impact of market factors that influence them to analyze the security, to analyze the international investment, and to understand the concept of derivatives.</w:t>
      </w:r>
    </w:p>
    <w:p w:rsidR="001C0F42" w:rsidRPr="009A7486" w:rsidRDefault="001C0F42" w:rsidP="00ED6A4B">
      <w:pPr>
        <w:tabs>
          <w:tab w:val="left" w:pos="450"/>
          <w:tab w:val="left" w:pos="4590"/>
          <w:tab w:val="right" w:pos="9270"/>
        </w:tabs>
        <w:autoSpaceDE w:val="0"/>
        <w:autoSpaceDN w:val="0"/>
        <w:adjustRightInd w:val="0"/>
        <w:spacing w:before="80" w:line="288" w:lineRule="auto"/>
        <w:jc w:val="both"/>
        <w:rPr>
          <w:sz w:val="22"/>
          <w:szCs w:val="22"/>
        </w:rPr>
      </w:pPr>
      <w:r w:rsidRPr="009A7486">
        <w:rPr>
          <w:b/>
          <w:bCs/>
          <w:sz w:val="22"/>
          <w:szCs w:val="22"/>
          <w:u w:val="single"/>
        </w:rPr>
        <w:t>Unit</w:t>
      </w:r>
      <w:r w:rsidR="00F77EFF">
        <w:rPr>
          <w:b/>
          <w:bCs/>
          <w:sz w:val="22"/>
          <w:szCs w:val="22"/>
          <w:u w:val="single"/>
        </w:rPr>
        <w:t xml:space="preserve"> </w:t>
      </w:r>
      <w:r w:rsidRPr="009A7486">
        <w:rPr>
          <w:b/>
          <w:bCs/>
          <w:sz w:val="22"/>
          <w:szCs w:val="22"/>
          <w:u w:val="single"/>
        </w:rPr>
        <w:t>1 Introduction</w:t>
      </w:r>
      <w:r w:rsidRPr="009A7486">
        <w:rPr>
          <w:b/>
          <w:bCs/>
          <w:sz w:val="22"/>
          <w:szCs w:val="22"/>
        </w:rPr>
        <w:t xml:space="preserve">                                                                              </w:t>
      </w:r>
      <w:r w:rsidRPr="009A7486">
        <w:rPr>
          <w:b/>
          <w:bCs/>
          <w:sz w:val="22"/>
          <w:szCs w:val="22"/>
        </w:rPr>
        <w:tab/>
        <w:t xml:space="preserve"> </w:t>
      </w:r>
      <w:r w:rsidR="00F6433A">
        <w:rPr>
          <w:b/>
          <w:bCs/>
          <w:sz w:val="22"/>
          <w:szCs w:val="22"/>
        </w:rPr>
        <w:t>6 Hours</w:t>
      </w:r>
    </w:p>
    <w:p w:rsidR="001C0F42" w:rsidRPr="009A7486" w:rsidRDefault="001C0F42" w:rsidP="00ED6A4B">
      <w:pPr>
        <w:tabs>
          <w:tab w:val="left" w:pos="450"/>
          <w:tab w:val="left" w:pos="4590"/>
          <w:tab w:val="right" w:pos="9270"/>
        </w:tabs>
        <w:autoSpaceDE w:val="0"/>
        <w:autoSpaceDN w:val="0"/>
        <w:adjustRightInd w:val="0"/>
        <w:spacing w:before="80" w:line="288" w:lineRule="auto"/>
        <w:jc w:val="both"/>
        <w:rPr>
          <w:sz w:val="22"/>
          <w:szCs w:val="22"/>
        </w:rPr>
      </w:pPr>
      <w:r w:rsidRPr="009A7486">
        <w:rPr>
          <w:sz w:val="22"/>
          <w:szCs w:val="22"/>
        </w:rPr>
        <w:t xml:space="preserve">The investment environment, Real assets </w:t>
      </w:r>
      <w:r w:rsidR="00BB1CB8">
        <w:rPr>
          <w:sz w:val="22"/>
          <w:szCs w:val="22"/>
        </w:rPr>
        <w:t>vs</w:t>
      </w:r>
      <w:r w:rsidRPr="009A7486">
        <w:rPr>
          <w:sz w:val="22"/>
          <w:szCs w:val="22"/>
        </w:rPr>
        <w:t xml:space="preserve"> Financial assets, A taxonomy of financial assets, The investment decision process, Asset classes and Financial instruments, Determinants of investment, The money market, Bond market, Equity securities, Derivative market, Care</w:t>
      </w:r>
      <w:r w:rsidR="00BB1CB8">
        <w:rPr>
          <w:sz w:val="22"/>
          <w:szCs w:val="22"/>
        </w:rPr>
        <w:t>er opportunities in investments</w:t>
      </w:r>
    </w:p>
    <w:p w:rsidR="001C0F42" w:rsidRPr="009A7486" w:rsidRDefault="001C0F42" w:rsidP="00ED6A4B">
      <w:pPr>
        <w:tabs>
          <w:tab w:val="left" w:pos="450"/>
          <w:tab w:val="left" w:pos="4590"/>
          <w:tab w:val="right" w:pos="9270"/>
        </w:tabs>
        <w:autoSpaceDE w:val="0"/>
        <w:autoSpaceDN w:val="0"/>
        <w:adjustRightInd w:val="0"/>
        <w:spacing w:before="80" w:line="288" w:lineRule="auto"/>
        <w:jc w:val="both"/>
        <w:rPr>
          <w:b/>
          <w:bCs/>
          <w:sz w:val="22"/>
          <w:szCs w:val="22"/>
        </w:rPr>
      </w:pPr>
      <w:r w:rsidRPr="009A7486">
        <w:rPr>
          <w:b/>
          <w:bCs/>
          <w:sz w:val="22"/>
          <w:szCs w:val="22"/>
          <w:u w:val="single"/>
        </w:rPr>
        <w:t>Unit</w:t>
      </w:r>
      <w:r w:rsidR="00F77EFF">
        <w:rPr>
          <w:b/>
          <w:bCs/>
          <w:sz w:val="22"/>
          <w:szCs w:val="22"/>
          <w:u w:val="single"/>
        </w:rPr>
        <w:t xml:space="preserve"> </w:t>
      </w:r>
      <w:r w:rsidRPr="009A7486">
        <w:rPr>
          <w:b/>
          <w:bCs/>
          <w:sz w:val="22"/>
          <w:szCs w:val="22"/>
          <w:u w:val="single"/>
        </w:rPr>
        <w:t>2 Portfolio Theory &amp; Practice</w:t>
      </w:r>
      <w:r w:rsidRPr="009A7486">
        <w:rPr>
          <w:b/>
          <w:bCs/>
          <w:sz w:val="22"/>
          <w:szCs w:val="22"/>
        </w:rPr>
        <w:t xml:space="preserve">                                                        </w:t>
      </w:r>
      <w:r w:rsidRPr="009A7486">
        <w:rPr>
          <w:b/>
          <w:bCs/>
          <w:sz w:val="22"/>
          <w:szCs w:val="22"/>
        </w:rPr>
        <w:tab/>
      </w:r>
      <w:r w:rsidR="00F6433A">
        <w:rPr>
          <w:b/>
          <w:bCs/>
          <w:sz w:val="22"/>
          <w:szCs w:val="22"/>
        </w:rPr>
        <w:t>15 Hours</w:t>
      </w:r>
    </w:p>
    <w:p w:rsidR="001C0F42" w:rsidRPr="009A7486" w:rsidRDefault="001C0F42" w:rsidP="00ED6A4B">
      <w:pPr>
        <w:tabs>
          <w:tab w:val="left" w:pos="450"/>
          <w:tab w:val="left" w:pos="4590"/>
          <w:tab w:val="right" w:pos="9270"/>
        </w:tabs>
        <w:autoSpaceDE w:val="0"/>
        <w:autoSpaceDN w:val="0"/>
        <w:adjustRightInd w:val="0"/>
        <w:spacing w:before="80" w:line="288" w:lineRule="auto"/>
        <w:jc w:val="both"/>
        <w:rPr>
          <w:sz w:val="22"/>
          <w:szCs w:val="22"/>
        </w:rPr>
      </w:pPr>
      <w:r w:rsidRPr="009A7486">
        <w:rPr>
          <w:sz w:val="22"/>
          <w:szCs w:val="22"/>
        </w:rPr>
        <w:t>Risk &amp; Risk premium, Risk aversion, Risk free assets, Risk tolerance &amp; Assets allocation, diversification &amp; portfolio risk, The efficient set theorem, Concavity of the efficient set, The market model diversification, Index models, SML v/s CML, CAPM, Index model, Expected return-beta relationship, Extension of CAPM, Liquidity &amp; CAPM, Multifactor models, Arbitrage pricing theory (APT), Multifactor CAPM &amp; the APT</w:t>
      </w:r>
    </w:p>
    <w:p w:rsidR="001C0F42" w:rsidRPr="009A7486" w:rsidRDefault="00F77EFF" w:rsidP="00ED6A4B">
      <w:pPr>
        <w:tabs>
          <w:tab w:val="left" w:pos="450"/>
          <w:tab w:val="left" w:pos="4590"/>
          <w:tab w:val="right" w:pos="9270"/>
        </w:tabs>
        <w:autoSpaceDE w:val="0"/>
        <w:autoSpaceDN w:val="0"/>
        <w:adjustRightInd w:val="0"/>
        <w:spacing w:before="80" w:line="288" w:lineRule="auto"/>
        <w:jc w:val="both"/>
        <w:rPr>
          <w:sz w:val="22"/>
          <w:szCs w:val="22"/>
        </w:rPr>
      </w:pPr>
      <w:r>
        <w:rPr>
          <w:b/>
          <w:bCs/>
          <w:sz w:val="22"/>
          <w:szCs w:val="22"/>
          <w:u w:val="single"/>
        </w:rPr>
        <w:t xml:space="preserve">Unit </w:t>
      </w:r>
      <w:r w:rsidR="001C0F42" w:rsidRPr="009A7486">
        <w:rPr>
          <w:b/>
          <w:bCs/>
          <w:sz w:val="22"/>
          <w:szCs w:val="22"/>
          <w:u w:val="single"/>
        </w:rPr>
        <w:t>3 Securities Analysis &amp; Valuation</w:t>
      </w:r>
      <w:r w:rsidR="001C0F42" w:rsidRPr="009A7486">
        <w:rPr>
          <w:b/>
          <w:bCs/>
          <w:sz w:val="22"/>
          <w:szCs w:val="22"/>
        </w:rPr>
        <w:t xml:space="preserve">                                                  </w:t>
      </w:r>
      <w:r w:rsidR="001C0F42" w:rsidRPr="009A7486">
        <w:rPr>
          <w:b/>
          <w:bCs/>
          <w:sz w:val="22"/>
          <w:szCs w:val="22"/>
        </w:rPr>
        <w:tab/>
      </w:r>
      <w:r w:rsidR="00F6433A">
        <w:rPr>
          <w:b/>
          <w:bCs/>
          <w:sz w:val="22"/>
          <w:szCs w:val="22"/>
        </w:rPr>
        <w:t>14 Hours</w:t>
      </w:r>
    </w:p>
    <w:p w:rsidR="001C0F42" w:rsidRPr="009A7486" w:rsidRDefault="001C0F42" w:rsidP="00ED6A4B">
      <w:pPr>
        <w:tabs>
          <w:tab w:val="left" w:pos="450"/>
          <w:tab w:val="left" w:pos="4590"/>
          <w:tab w:val="right" w:pos="9270"/>
        </w:tabs>
        <w:autoSpaceDE w:val="0"/>
        <w:autoSpaceDN w:val="0"/>
        <w:adjustRightInd w:val="0"/>
        <w:spacing w:before="80"/>
        <w:jc w:val="both"/>
        <w:rPr>
          <w:b/>
          <w:sz w:val="22"/>
          <w:szCs w:val="22"/>
        </w:rPr>
      </w:pPr>
      <w:r w:rsidRPr="009A7486">
        <w:rPr>
          <w:b/>
          <w:sz w:val="22"/>
          <w:szCs w:val="22"/>
        </w:rPr>
        <w:t>Macro</w:t>
      </w:r>
      <w:r w:rsidR="00D03604">
        <w:rPr>
          <w:b/>
          <w:sz w:val="22"/>
          <w:szCs w:val="22"/>
        </w:rPr>
        <w:t>-economic and industry analysis</w:t>
      </w:r>
    </w:p>
    <w:p w:rsidR="001C0F42" w:rsidRPr="009A7486" w:rsidRDefault="001C0F42" w:rsidP="00ED6A4B">
      <w:pPr>
        <w:tabs>
          <w:tab w:val="left" w:pos="450"/>
          <w:tab w:val="left" w:pos="4590"/>
          <w:tab w:val="right" w:pos="9270"/>
        </w:tabs>
        <w:autoSpaceDE w:val="0"/>
        <w:autoSpaceDN w:val="0"/>
        <w:adjustRightInd w:val="0"/>
        <w:spacing w:before="80"/>
        <w:jc w:val="both"/>
        <w:rPr>
          <w:sz w:val="22"/>
          <w:szCs w:val="22"/>
        </w:rPr>
      </w:pPr>
      <w:r w:rsidRPr="009A7486">
        <w:rPr>
          <w:sz w:val="22"/>
          <w:szCs w:val="22"/>
        </w:rPr>
        <w:t>Global economy, Business cycles, Domestic macro-economy, Industrial analysis, Financial analysis, Technical analysis, Fundamental analysis, Financial statement analysis</w:t>
      </w:r>
    </w:p>
    <w:p w:rsidR="001C0F42" w:rsidRPr="009A7486" w:rsidRDefault="00D03604" w:rsidP="00ED6A4B">
      <w:pPr>
        <w:tabs>
          <w:tab w:val="left" w:pos="450"/>
          <w:tab w:val="left" w:pos="4590"/>
          <w:tab w:val="right" w:pos="9270"/>
        </w:tabs>
        <w:autoSpaceDE w:val="0"/>
        <w:autoSpaceDN w:val="0"/>
        <w:adjustRightInd w:val="0"/>
        <w:spacing w:before="80"/>
        <w:jc w:val="both"/>
        <w:rPr>
          <w:b/>
          <w:sz w:val="22"/>
          <w:szCs w:val="22"/>
        </w:rPr>
      </w:pPr>
      <w:r>
        <w:rPr>
          <w:b/>
          <w:sz w:val="22"/>
          <w:szCs w:val="22"/>
        </w:rPr>
        <w:t>Bonds</w:t>
      </w:r>
    </w:p>
    <w:p w:rsidR="001C0F42" w:rsidRPr="009A7486" w:rsidRDefault="001C0F42" w:rsidP="00ED6A4B">
      <w:pPr>
        <w:tabs>
          <w:tab w:val="left" w:pos="450"/>
          <w:tab w:val="left" w:pos="4590"/>
          <w:tab w:val="right" w:pos="9270"/>
        </w:tabs>
        <w:autoSpaceDE w:val="0"/>
        <w:autoSpaceDN w:val="0"/>
        <w:adjustRightInd w:val="0"/>
        <w:spacing w:before="80"/>
        <w:jc w:val="both"/>
        <w:rPr>
          <w:sz w:val="22"/>
          <w:szCs w:val="22"/>
        </w:rPr>
      </w:pPr>
      <w:r w:rsidRPr="009A7486">
        <w:rPr>
          <w:sz w:val="22"/>
          <w:szCs w:val="22"/>
        </w:rPr>
        <w:t>Introduction &amp; Nature of bonds, Bond valuation, Bond yields (YTC &amp;YTM), Bond pricing theorem, Interest rate convexity, Active &amp; Passive bond management.</w:t>
      </w:r>
    </w:p>
    <w:p w:rsidR="001C0F42" w:rsidRPr="009A7486" w:rsidRDefault="001C0F42" w:rsidP="00ED6A4B">
      <w:pPr>
        <w:tabs>
          <w:tab w:val="left" w:pos="450"/>
          <w:tab w:val="left" w:pos="4590"/>
          <w:tab w:val="right" w:pos="9270"/>
        </w:tabs>
        <w:autoSpaceDE w:val="0"/>
        <w:autoSpaceDN w:val="0"/>
        <w:adjustRightInd w:val="0"/>
        <w:spacing w:before="80"/>
        <w:jc w:val="both"/>
        <w:rPr>
          <w:b/>
          <w:sz w:val="22"/>
          <w:szCs w:val="22"/>
        </w:rPr>
      </w:pPr>
      <w:r w:rsidRPr="009A7486">
        <w:rPr>
          <w:b/>
          <w:sz w:val="22"/>
          <w:szCs w:val="22"/>
        </w:rPr>
        <w:t xml:space="preserve">Equity </w:t>
      </w:r>
    </w:p>
    <w:p w:rsidR="001C0F42" w:rsidRPr="009A7486" w:rsidRDefault="001C0F42" w:rsidP="00ED6A4B">
      <w:pPr>
        <w:tabs>
          <w:tab w:val="left" w:pos="450"/>
          <w:tab w:val="left" w:pos="4590"/>
          <w:tab w:val="right" w:pos="9270"/>
        </w:tabs>
        <w:autoSpaceDE w:val="0"/>
        <w:autoSpaceDN w:val="0"/>
        <w:adjustRightInd w:val="0"/>
        <w:spacing w:before="80"/>
        <w:jc w:val="both"/>
        <w:rPr>
          <w:sz w:val="22"/>
          <w:szCs w:val="22"/>
        </w:rPr>
      </w:pPr>
      <w:r w:rsidRPr="009A7486">
        <w:rPr>
          <w:sz w:val="22"/>
          <w:szCs w:val="22"/>
        </w:rPr>
        <w:t>Nature of equity shares, Intrinsic value, Market value, Valuation by comparison, Dividend discount model, Price- earnings ratio, Cash flow approach</w:t>
      </w:r>
    </w:p>
    <w:p w:rsidR="001C0F42" w:rsidRPr="009A7486" w:rsidRDefault="00D03604" w:rsidP="00ED6A4B">
      <w:pPr>
        <w:tabs>
          <w:tab w:val="left" w:pos="450"/>
          <w:tab w:val="left" w:pos="4590"/>
          <w:tab w:val="right" w:pos="9270"/>
        </w:tabs>
        <w:autoSpaceDE w:val="0"/>
        <w:autoSpaceDN w:val="0"/>
        <w:adjustRightInd w:val="0"/>
        <w:spacing w:before="80" w:line="288" w:lineRule="auto"/>
        <w:jc w:val="both"/>
        <w:rPr>
          <w:sz w:val="22"/>
          <w:szCs w:val="22"/>
        </w:rPr>
      </w:pPr>
      <w:r>
        <w:rPr>
          <w:b/>
          <w:bCs/>
          <w:sz w:val="22"/>
          <w:szCs w:val="22"/>
          <w:u w:val="single"/>
        </w:rPr>
        <w:t xml:space="preserve">Unit </w:t>
      </w:r>
      <w:r w:rsidR="001C0F42" w:rsidRPr="009A7486">
        <w:rPr>
          <w:b/>
          <w:bCs/>
          <w:sz w:val="22"/>
          <w:szCs w:val="22"/>
          <w:u w:val="single"/>
        </w:rPr>
        <w:t>4 International Investment</w:t>
      </w:r>
      <w:r w:rsidR="001C0F42" w:rsidRPr="009A7486">
        <w:rPr>
          <w:b/>
          <w:bCs/>
          <w:sz w:val="22"/>
          <w:szCs w:val="22"/>
        </w:rPr>
        <w:t xml:space="preserve">                                                           </w:t>
      </w:r>
      <w:r w:rsidR="001C0F42" w:rsidRPr="009A7486">
        <w:rPr>
          <w:b/>
          <w:bCs/>
          <w:sz w:val="22"/>
          <w:szCs w:val="22"/>
        </w:rPr>
        <w:tab/>
      </w:r>
      <w:r w:rsidR="00F6433A">
        <w:rPr>
          <w:b/>
          <w:bCs/>
          <w:sz w:val="22"/>
          <w:szCs w:val="22"/>
        </w:rPr>
        <w:t>8 Hours</w:t>
      </w:r>
    </w:p>
    <w:p w:rsidR="001C0F42" w:rsidRPr="009A7486" w:rsidRDefault="001C0F42" w:rsidP="00ED6A4B">
      <w:pPr>
        <w:tabs>
          <w:tab w:val="left" w:pos="450"/>
          <w:tab w:val="left" w:pos="4590"/>
          <w:tab w:val="right" w:pos="9270"/>
        </w:tabs>
        <w:autoSpaceDE w:val="0"/>
        <w:autoSpaceDN w:val="0"/>
        <w:adjustRightInd w:val="0"/>
        <w:spacing w:before="80" w:line="288" w:lineRule="auto"/>
        <w:jc w:val="both"/>
        <w:rPr>
          <w:sz w:val="22"/>
          <w:szCs w:val="22"/>
        </w:rPr>
      </w:pPr>
      <w:r w:rsidRPr="009A7486">
        <w:rPr>
          <w:sz w:val="22"/>
          <w:szCs w:val="22"/>
        </w:rPr>
        <w:t>International equity indices, Emerging market, Managing exchange risk, Foreign &amp; domestic Risk &amp; return, International listing, International tax issues, Interest rate &amp; inflation, Nominal &amp; real return</w:t>
      </w:r>
    </w:p>
    <w:p w:rsidR="001C0F42" w:rsidRPr="009A7486" w:rsidRDefault="00D03604" w:rsidP="00ED6A4B">
      <w:pPr>
        <w:tabs>
          <w:tab w:val="left" w:pos="450"/>
          <w:tab w:val="left" w:pos="4590"/>
          <w:tab w:val="right" w:pos="9270"/>
        </w:tabs>
        <w:autoSpaceDE w:val="0"/>
        <w:autoSpaceDN w:val="0"/>
        <w:adjustRightInd w:val="0"/>
        <w:spacing w:before="80" w:line="288" w:lineRule="auto"/>
        <w:jc w:val="both"/>
        <w:rPr>
          <w:sz w:val="22"/>
          <w:szCs w:val="22"/>
        </w:rPr>
      </w:pPr>
      <w:r>
        <w:rPr>
          <w:b/>
          <w:bCs/>
          <w:sz w:val="22"/>
          <w:szCs w:val="22"/>
          <w:u w:val="single"/>
        </w:rPr>
        <w:t xml:space="preserve">Unit </w:t>
      </w:r>
      <w:r w:rsidR="001C0F42" w:rsidRPr="009A7486">
        <w:rPr>
          <w:b/>
          <w:bCs/>
          <w:sz w:val="22"/>
          <w:szCs w:val="22"/>
          <w:u w:val="single"/>
        </w:rPr>
        <w:t>5 Other Investment</w:t>
      </w:r>
      <w:r w:rsidR="001C0F42" w:rsidRPr="009A7486">
        <w:rPr>
          <w:b/>
          <w:bCs/>
          <w:sz w:val="22"/>
          <w:szCs w:val="22"/>
        </w:rPr>
        <w:t xml:space="preserve">                                                                                  </w:t>
      </w:r>
      <w:r w:rsidR="001C0F42" w:rsidRPr="009A7486">
        <w:rPr>
          <w:b/>
          <w:bCs/>
          <w:sz w:val="22"/>
          <w:szCs w:val="22"/>
        </w:rPr>
        <w:tab/>
      </w:r>
      <w:r w:rsidR="00F6433A">
        <w:rPr>
          <w:b/>
          <w:bCs/>
          <w:sz w:val="22"/>
          <w:szCs w:val="22"/>
        </w:rPr>
        <w:t>5 Hours</w:t>
      </w:r>
    </w:p>
    <w:p w:rsidR="001C0F42" w:rsidRPr="009A7486" w:rsidRDefault="001C0F42" w:rsidP="00ED6A4B">
      <w:pPr>
        <w:tabs>
          <w:tab w:val="left" w:pos="450"/>
          <w:tab w:val="left" w:pos="4590"/>
          <w:tab w:val="right" w:pos="9270"/>
        </w:tabs>
        <w:autoSpaceDE w:val="0"/>
        <w:autoSpaceDN w:val="0"/>
        <w:adjustRightInd w:val="0"/>
        <w:spacing w:before="80" w:line="288" w:lineRule="auto"/>
        <w:jc w:val="both"/>
        <w:rPr>
          <w:sz w:val="22"/>
          <w:szCs w:val="22"/>
        </w:rPr>
      </w:pPr>
      <w:r w:rsidRPr="009A7486">
        <w:rPr>
          <w:sz w:val="22"/>
          <w:szCs w:val="22"/>
        </w:rPr>
        <w:t>Investment companies, Major types of investment companies: Clos</w:t>
      </w:r>
      <w:r w:rsidR="00D03604">
        <w:rPr>
          <w:sz w:val="22"/>
          <w:szCs w:val="22"/>
        </w:rPr>
        <w:t xml:space="preserve">e-end company, Open-end company </w:t>
      </w:r>
      <w:r w:rsidRPr="009A7486">
        <w:rPr>
          <w:sz w:val="22"/>
          <w:szCs w:val="22"/>
        </w:rPr>
        <w:t>(Mutual Fund), Mutual fund characteristics, Evaluating mutual funds, Mutual funds in Nepal</w:t>
      </w:r>
    </w:p>
    <w:p w:rsidR="001C0F42" w:rsidRPr="009A7486" w:rsidRDefault="001C0F42" w:rsidP="00ED6A4B">
      <w:pPr>
        <w:pStyle w:val="Heading4"/>
        <w:spacing w:before="80" w:line="288" w:lineRule="auto"/>
        <w:jc w:val="both"/>
        <w:rPr>
          <w:b/>
          <w:bCs/>
          <w:sz w:val="22"/>
          <w:szCs w:val="22"/>
          <w:u w:val="single"/>
        </w:rPr>
      </w:pPr>
      <w:r w:rsidRPr="009A7486">
        <w:rPr>
          <w:b/>
          <w:bCs/>
          <w:sz w:val="22"/>
          <w:szCs w:val="22"/>
          <w:u w:val="single"/>
        </w:rPr>
        <w:t>Reference Books</w:t>
      </w:r>
      <w:r w:rsidR="00D03604">
        <w:rPr>
          <w:b/>
          <w:bCs/>
          <w:sz w:val="22"/>
          <w:szCs w:val="22"/>
          <w:u w:val="single"/>
        </w:rPr>
        <w:t>:</w:t>
      </w:r>
      <w:r w:rsidRPr="009A7486">
        <w:rPr>
          <w:sz w:val="22"/>
          <w:szCs w:val="22"/>
        </w:rPr>
        <w:t xml:space="preserve"> </w:t>
      </w:r>
    </w:p>
    <w:p w:rsidR="001C0F42" w:rsidRPr="009A7486" w:rsidRDefault="001C0F42" w:rsidP="00ED6A4B">
      <w:pPr>
        <w:numPr>
          <w:ilvl w:val="0"/>
          <w:numId w:val="45"/>
        </w:numPr>
        <w:tabs>
          <w:tab w:val="left" w:pos="360"/>
          <w:tab w:val="left" w:pos="720"/>
          <w:tab w:val="left" w:pos="4500"/>
          <w:tab w:val="right" w:pos="9000"/>
        </w:tabs>
        <w:autoSpaceDE w:val="0"/>
        <w:autoSpaceDN w:val="0"/>
        <w:adjustRightInd w:val="0"/>
        <w:spacing w:before="80"/>
        <w:jc w:val="both"/>
        <w:rPr>
          <w:sz w:val="22"/>
          <w:szCs w:val="22"/>
        </w:rPr>
      </w:pPr>
      <w:r w:rsidRPr="009A7486">
        <w:rPr>
          <w:sz w:val="22"/>
          <w:szCs w:val="22"/>
        </w:rPr>
        <w:t xml:space="preserve">Sharpe, W. F., Alexander, G.J., and Jeffery, V. Bailey, </w:t>
      </w:r>
      <w:r w:rsidRPr="00F6433A">
        <w:rPr>
          <w:b/>
          <w:i/>
          <w:sz w:val="22"/>
          <w:szCs w:val="22"/>
        </w:rPr>
        <w:t>Investments</w:t>
      </w:r>
      <w:r w:rsidRPr="009A7486">
        <w:rPr>
          <w:i/>
          <w:sz w:val="22"/>
          <w:szCs w:val="22"/>
        </w:rPr>
        <w:t>.</w:t>
      </w:r>
      <w:r w:rsidRPr="009A7486">
        <w:rPr>
          <w:sz w:val="22"/>
          <w:szCs w:val="22"/>
        </w:rPr>
        <w:t xml:space="preserve"> Prentice-Hall of India Pvt. Ltd., New Delhi.</w:t>
      </w:r>
    </w:p>
    <w:p w:rsidR="001C0F42" w:rsidRPr="009A7486" w:rsidRDefault="001C0F42" w:rsidP="00ED6A4B">
      <w:pPr>
        <w:numPr>
          <w:ilvl w:val="0"/>
          <w:numId w:val="45"/>
        </w:numPr>
        <w:tabs>
          <w:tab w:val="left" w:pos="360"/>
          <w:tab w:val="left" w:pos="720"/>
          <w:tab w:val="left" w:pos="4500"/>
          <w:tab w:val="right" w:pos="9000"/>
        </w:tabs>
        <w:autoSpaceDE w:val="0"/>
        <w:autoSpaceDN w:val="0"/>
        <w:adjustRightInd w:val="0"/>
        <w:spacing w:before="80"/>
        <w:jc w:val="both"/>
        <w:rPr>
          <w:sz w:val="22"/>
          <w:szCs w:val="22"/>
        </w:rPr>
      </w:pPr>
      <w:r w:rsidRPr="009A7486">
        <w:rPr>
          <w:sz w:val="22"/>
          <w:szCs w:val="22"/>
        </w:rPr>
        <w:t xml:space="preserve">Bhalla, V. K., </w:t>
      </w:r>
      <w:r w:rsidRPr="00F6433A">
        <w:rPr>
          <w:b/>
          <w:i/>
          <w:sz w:val="22"/>
          <w:szCs w:val="22"/>
        </w:rPr>
        <w:t>Investment Management: Security Analysis and Portfolio Management.</w:t>
      </w:r>
      <w:r w:rsidRPr="009A7486">
        <w:rPr>
          <w:sz w:val="22"/>
          <w:szCs w:val="22"/>
        </w:rPr>
        <w:t xml:space="preserve"> S. Chand &amp; Company Pvt. Ltd., New Delhi.</w:t>
      </w:r>
    </w:p>
    <w:p w:rsidR="001C0F42" w:rsidRPr="009A7486" w:rsidRDefault="001C0F42" w:rsidP="00ED6A4B">
      <w:pPr>
        <w:numPr>
          <w:ilvl w:val="0"/>
          <w:numId w:val="45"/>
        </w:numPr>
        <w:tabs>
          <w:tab w:val="left" w:pos="360"/>
          <w:tab w:val="left" w:pos="720"/>
          <w:tab w:val="left" w:pos="4500"/>
          <w:tab w:val="right" w:pos="9000"/>
        </w:tabs>
        <w:autoSpaceDE w:val="0"/>
        <w:autoSpaceDN w:val="0"/>
        <w:adjustRightInd w:val="0"/>
        <w:spacing w:before="80"/>
        <w:jc w:val="both"/>
        <w:rPr>
          <w:sz w:val="22"/>
          <w:szCs w:val="22"/>
        </w:rPr>
      </w:pPr>
      <w:r w:rsidRPr="009A7486">
        <w:rPr>
          <w:sz w:val="22"/>
          <w:szCs w:val="22"/>
        </w:rPr>
        <w:t xml:space="preserve">Reilly, F. K. and Brown, K. C., </w:t>
      </w:r>
      <w:r w:rsidRPr="00F6433A">
        <w:rPr>
          <w:b/>
          <w:i/>
          <w:sz w:val="22"/>
          <w:szCs w:val="22"/>
        </w:rPr>
        <w:t>Analysis of Investment&amp; Management of Portfolios</w:t>
      </w:r>
      <w:r w:rsidRPr="009A7486">
        <w:rPr>
          <w:sz w:val="22"/>
          <w:szCs w:val="22"/>
        </w:rPr>
        <w:t>. Cengage Learning India Pvt. Ltd.</w:t>
      </w:r>
    </w:p>
    <w:p w:rsidR="001C0F42" w:rsidRPr="009A7486" w:rsidRDefault="001C0F42" w:rsidP="00ED6A4B">
      <w:pPr>
        <w:numPr>
          <w:ilvl w:val="0"/>
          <w:numId w:val="45"/>
        </w:numPr>
        <w:tabs>
          <w:tab w:val="left" w:pos="360"/>
          <w:tab w:val="left" w:pos="720"/>
          <w:tab w:val="left" w:pos="4500"/>
          <w:tab w:val="right" w:pos="9000"/>
        </w:tabs>
        <w:autoSpaceDE w:val="0"/>
        <w:autoSpaceDN w:val="0"/>
        <w:adjustRightInd w:val="0"/>
        <w:spacing w:before="80"/>
        <w:jc w:val="both"/>
        <w:rPr>
          <w:b/>
          <w:sz w:val="22"/>
          <w:szCs w:val="22"/>
        </w:rPr>
      </w:pPr>
      <w:r w:rsidRPr="009A7486">
        <w:rPr>
          <w:sz w:val="22"/>
          <w:szCs w:val="22"/>
        </w:rPr>
        <w:t xml:space="preserve">Bodie, Z., Kane, A., Marcus, A. J. and Mohanty, P. </w:t>
      </w:r>
      <w:r w:rsidRPr="00F6433A">
        <w:rPr>
          <w:b/>
          <w:i/>
          <w:sz w:val="22"/>
          <w:szCs w:val="22"/>
        </w:rPr>
        <w:t>Investments,</w:t>
      </w:r>
      <w:r w:rsidRPr="009A7486">
        <w:rPr>
          <w:sz w:val="22"/>
          <w:szCs w:val="22"/>
        </w:rPr>
        <w:t xml:space="preserve"> Tata McGraw –Hill, Education Pvt. Ltd., New Delhi.</w:t>
      </w:r>
      <w:bookmarkStart w:id="0" w:name="_GoBack"/>
      <w:bookmarkEnd w:id="0"/>
    </w:p>
    <w:sectPr w:rsidR="001C0F42" w:rsidRPr="009A7486" w:rsidSect="00177C70">
      <w:headerReference w:type="default" r:id="rId7"/>
      <w:footerReference w:type="default" r:id="rId8"/>
      <w:pgSz w:w="11907" w:h="16839" w:code="9"/>
      <w:pgMar w:top="1152" w:right="720"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45D" w:rsidRDefault="00C9145D" w:rsidP="000D1C91">
      <w:r>
        <w:separator/>
      </w:r>
    </w:p>
  </w:endnote>
  <w:endnote w:type="continuationSeparator" w:id="0">
    <w:p w:rsidR="00C9145D" w:rsidRDefault="00C9145D" w:rsidP="000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badi MT Condensed">
    <w:altName w:val="MV Boli"/>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badi MT Condensed Extra Bold">
    <w:altName w:val="Gill Sans Ultra Bold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Mangal">
    <w:panose1 w:val="02040503050203030202"/>
    <w:charset w:val="01"/>
    <w:family w:val="auto"/>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390" w:rsidRDefault="000F672D" w:rsidP="00E26550">
    <w:pPr>
      <w:pStyle w:val="Footer"/>
      <w:pBdr>
        <w:top w:val="single" w:sz="4" w:space="1" w:color="D9D9D9"/>
      </w:pBdr>
      <w:rPr>
        <w:b/>
      </w:rPr>
    </w:pPr>
    <w:r>
      <w:fldChar w:fldCharType="begin"/>
    </w:r>
    <w:r>
      <w:instrText xml:space="preserve"> PAGE   \* MERGEFORMAT </w:instrText>
    </w:r>
    <w:r>
      <w:fldChar w:fldCharType="separate"/>
    </w:r>
    <w:r w:rsidR="00E57113" w:rsidRPr="00E57113">
      <w:rPr>
        <w:b/>
        <w:noProof/>
      </w:rPr>
      <w:t>1</w:t>
    </w:r>
    <w:r>
      <w:rPr>
        <w:b/>
        <w:noProof/>
      </w:rPr>
      <w:fldChar w:fldCharType="end"/>
    </w:r>
    <w:r w:rsidR="00096390">
      <w:rPr>
        <w:b/>
      </w:rPr>
      <w:t xml:space="preserve"> | </w:t>
    </w:r>
    <w:r w:rsidR="00096390" w:rsidRPr="00FA003F">
      <w:rPr>
        <w:color w:val="7F7F7F"/>
      </w:rPr>
      <w:t>MBS</w:t>
    </w:r>
    <w:r w:rsidR="00096390">
      <w:rPr>
        <w:color w:val="7F7F7F"/>
      </w:rPr>
      <w:t xml:space="preserve"> 4</w:t>
    </w:r>
    <w:r w:rsidR="00096390" w:rsidRPr="00E26550">
      <w:rPr>
        <w:color w:val="7F7F7F"/>
        <w:vertAlign w:val="superscript"/>
      </w:rPr>
      <w:t>th</w:t>
    </w:r>
    <w:r w:rsidR="00096390" w:rsidRPr="00FA003F">
      <w:rPr>
        <w:color w:val="7F7F7F"/>
      </w:rPr>
      <w:t xml:space="preserve"> Semester</w:t>
    </w:r>
  </w:p>
  <w:p w:rsidR="00096390" w:rsidRDefault="00096390">
    <w:pPr>
      <w:pStyle w:val="Footer"/>
      <w:pBdr>
        <w:top w:val="single" w:sz="4" w:space="1" w:color="D9D9D9"/>
      </w:pBdr>
      <w:rPr>
        <w:b/>
      </w:rPr>
    </w:pPr>
  </w:p>
  <w:p w:rsidR="00096390" w:rsidRDefault="00096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45D" w:rsidRDefault="00C9145D" w:rsidP="000D1C91">
      <w:r>
        <w:separator/>
      </w:r>
    </w:p>
  </w:footnote>
  <w:footnote w:type="continuationSeparator" w:id="0">
    <w:p w:rsidR="00C9145D" w:rsidRDefault="00C9145D" w:rsidP="000D1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390" w:rsidRPr="000C1FED" w:rsidRDefault="00096390" w:rsidP="000C1FED">
    <w:pPr>
      <w:pStyle w:val="Header"/>
      <w:pBdr>
        <w:bottom w:val="thickThinSmallGap" w:sz="24" w:space="1" w:color="622423"/>
      </w:pBdr>
      <w:rPr>
        <w:rFonts w:ascii="Cambria" w:eastAsia="Times New Roman" w:hAnsi="Cambria"/>
        <w:sz w:val="17"/>
        <w:szCs w:val="17"/>
      </w:rPr>
    </w:pPr>
    <w:r w:rsidRPr="000C1FED">
      <w:rPr>
        <w:rFonts w:ascii="Cambria" w:eastAsia="Times New Roman" w:hAnsi="Cambria"/>
        <w:sz w:val="17"/>
        <w:szCs w:val="17"/>
      </w:rPr>
      <w:t>MID-WESTERN UNIVERSITY,</w:t>
    </w:r>
    <w:r w:rsidR="0070271C" w:rsidRPr="000C1FED">
      <w:rPr>
        <w:rFonts w:ascii="Cambria" w:eastAsia="Times New Roman" w:hAnsi="Cambria"/>
        <w:sz w:val="17"/>
        <w:szCs w:val="17"/>
      </w:rPr>
      <w:t xml:space="preserve"> FACULTY OF MANAGEMENT, MASTER IN </w:t>
    </w:r>
    <w:r w:rsidRPr="000C1FED">
      <w:rPr>
        <w:rFonts w:ascii="Cambria" w:eastAsia="Times New Roman" w:hAnsi="Cambria"/>
        <w:sz w:val="17"/>
        <w:szCs w:val="17"/>
      </w:rPr>
      <w:t xml:space="preserve">BUSINESS STUDIES (MBS), </w:t>
    </w:r>
    <w:r w:rsidR="000C1FED" w:rsidRPr="000C1FED">
      <w:rPr>
        <w:rFonts w:ascii="Cambria" w:eastAsia="Times New Roman" w:hAnsi="Cambria"/>
        <w:sz w:val="17"/>
        <w:szCs w:val="17"/>
      </w:rPr>
      <w:t>SYLLABUS</w:t>
    </w:r>
    <w:r w:rsidRPr="000C1FED">
      <w:rPr>
        <w:rFonts w:ascii="Cambria" w:eastAsia="Times New Roman" w:hAnsi="Cambria"/>
        <w:sz w:val="17"/>
        <w:szCs w:val="17"/>
      </w:rPr>
      <w:t xml:space="preserve"> 2072 (2016) </w:t>
    </w:r>
  </w:p>
  <w:p w:rsidR="00096390" w:rsidRDefault="00096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FD4AAC0"/>
    <w:lvl w:ilvl="0">
      <w:numFmt w:val="decimal"/>
      <w:lvlText w:val="*"/>
      <w:lvlJc w:val="left"/>
    </w:lvl>
  </w:abstractNum>
  <w:abstractNum w:abstractNumId="1" w15:restartNumberingAfterBreak="0">
    <w:nsid w:val="00BF4C74"/>
    <w:multiLevelType w:val="hybridMultilevel"/>
    <w:tmpl w:val="919CA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4138E7"/>
    <w:multiLevelType w:val="hybridMultilevel"/>
    <w:tmpl w:val="5C80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92C5B"/>
    <w:multiLevelType w:val="hybridMultilevel"/>
    <w:tmpl w:val="C3422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354BD"/>
    <w:multiLevelType w:val="hybridMultilevel"/>
    <w:tmpl w:val="28780C2E"/>
    <w:lvl w:ilvl="0" w:tplc="8EE8D47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76E6D"/>
    <w:multiLevelType w:val="hybridMultilevel"/>
    <w:tmpl w:val="4E625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F75A6"/>
    <w:multiLevelType w:val="hybridMultilevel"/>
    <w:tmpl w:val="60EA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97AE4"/>
    <w:multiLevelType w:val="hybridMultilevel"/>
    <w:tmpl w:val="B7E0B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17FDF"/>
    <w:multiLevelType w:val="hybridMultilevel"/>
    <w:tmpl w:val="A2EE2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1220A"/>
    <w:multiLevelType w:val="singleLevel"/>
    <w:tmpl w:val="0FD4AAC0"/>
    <w:lvl w:ilvl="0">
      <w:numFmt w:val="decimal"/>
      <w:lvlText w:val="*"/>
      <w:lvlJc w:val="left"/>
    </w:lvl>
  </w:abstractNum>
  <w:abstractNum w:abstractNumId="10" w15:restartNumberingAfterBreak="0">
    <w:nsid w:val="21684206"/>
    <w:multiLevelType w:val="hybridMultilevel"/>
    <w:tmpl w:val="5FF81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61F91"/>
    <w:multiLevelType w:val="hybridMultilevel"/>
    <w:tmpl w:val="585E9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23F68"/>
    <w:multiLevelType w:val="hybridMultilevel"/>
    <w:tmpl w:val="5B78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0163F"/>
    <w:multiLevelType w:val="hybridMultilevel"/>
    <w:tmpl w:val="5AE6C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2F1686"/>
    <w:multiLevelType w:val="hybridMultilevel"/>
    <w:tmpl w:val="8A9C1CF4"/>
    <w:lvl w:ilvl="0" w:tplc="0409000F">
      <w:start w:val="1"/>
      <w:numFmt w:val="decimal"/>
      <w:lvlText w:val="%1."/>
      <w:lvlJc w:val="left"/>
      <w:pPr>
        <w:ind w:left="720" w:hanging="360"/>
      </w:pPr>
      <w:rPr>
        <w:rFonts w:hint="default"/>
      </w:rPr>
    </w:lvl>
    <w:lvl w:ilvl="1" w:tplc="420AFDAC">
      <w:start w:val="4"/>
      <w:numFmt w:val="bullet"/>
      <w:lvlText w:val="-"/>
      <w:lvlJc w:val="left"/>
      <w:pPr>
        <w:ind w:left="1440" w:hanging="36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E0CCA"/>
    <w:multiLevelType w:val="hybridMultilevel"/>
    <w:tmpl w:val="F872B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E30FC"/>
    <w:multiLevelType w:val="hybridMultilevel"/>
    <w:tmpl w:val="F2BA6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72719B"/>
    <w:multiLevelType w:val="hybridMultilevel"/>
    <w:tmpl w:val="321CC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811785"/>
    <w:multiLevelType w:val="hybridMultilevel"/>
    <w:tmpl w:val="0F54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EF50B1"/>
    <w:multiLevelType w:val="hybridMultilevel"/>
    <w:tmpl w:val="D6D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A52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82C30AA"/>
    <w:multiLevelType w:val="hybridMultilevel"/>
    <w:tmpl w:val="656E8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C234D9"/>
    <w:multiLevelType w:val="hybridMultilevel"/>
    <w:tmpl w:val="2AD6D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2E496C"/>
    <w:multiLevelType w:val="hybridMultilevel"/>
    <w:tmpl w:val="964C7FEE"/>
    <w:lvl w:ilvl="0" w:tplc="5CF0C560">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97F6F63"/>
    <w:multiLevelType w:val="hybridMultilevel"/>
    <w:tmpl w:val="1988C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A51E9"/>
    <w:multiLevelType w:val="hybridMultilevel"/>
    <w:tmpl w:val="4D504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1862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31D0079"/>
    <w:multiLevelType w:val="hybridMultilevel"/>
    <w:tmpl w:val="A940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B057A3"/>
    <w:multiLevelType w:val="hybridMultilevel"/>
    <w:tmpl w:val="B14A16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FD3707"/>
    <w:multiLevelType w:val="hybridMultilevel"/>
    <w:tmpl w:val="ABD6E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AD1FE3"/>
    <w:multiLevelType w:val="hybridMultilevel"/>
    <w:tmpl w:val="1A1A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0A0DD0"/>
    <w:multiLevelType w:val="hybridMultilevel"/>
    <w:tmpl w:val="25E89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43657C"/>
    <w:multiLevelType w:val="hybridMultilevel"/>
    <w:tmpl w:val="0D6C3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6A40D0"/>
    <w:multiLevelType w:val="hybridMultilevel"/>
    <w:tmpl w:val="4BBE5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6C7C6E"/>
    <w:multiLevelType w:val="hybridMultilevel"/>
    <w:tmpl w:val="D0640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487029F"/>
    <w:multiLevelType w:val="hybridMultilevel"/>
    <w:tmpl w:val="B4E43B62"/>
    <w:lvl w:ilvl="0" w:tplc="0409000F">
      <w:start w:val="1"/>
      <w:numFmt w:val="decimal"/>
      <w:lvlText w:val="%1."/>
      <w:lvlJc w:val="left"/>
      <w:pPr>
        <w:ind w:left="720" w:hanging="360"/>
      </w:pPr>
    </w:lvl>
    <w:lvl w:ilvl="1" w:tplc="A75C244E">
      <w:start w:val="1"/>
      <w:numFmt w:val="decimal"/>
      <w:lvlText w:val="%2."/>
      <w:lvlJc w:val="left"/>
      <w:pPr>
        <w:ind w:left="1440" w:hanging="360"/>
      </w:pPr>
      <w:rPr>
        <w:rFonts w:ascii="Times New Roman" w:eastAsia="SimSu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91CF3"/>
    <w:multiLevelType w:val="hybridMultilevel"/>
    <w:tmpl w:val="917E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3D31EC"/>
    <w:multiLevelType w:val="hybridMultilevel"/>
    <w:tmpl w:val="AEC8B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BF17708"/>
    <w:multiLevelType w:val="hybridMultilevel"/>
    <w:tmpl w:val="94065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140E46"/>
    <w:multiLevelType w:val="hybridMultilevel"/>
    <w:tmpl w:val="A13262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00F6CFA"/>
    <w:multiLevelType w:val="hybridMultilevel"/>
    <w:tmpl w:val="22C650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1A00694"/>
    <w:multiLevelType w:val="hybridMultilevel"/>
    <w:tmpl w:val="FA9A8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826DB7"/>
    <w:multiLevelType w:val="hybridMultilevel"/>
    <w:tmpl w:val="BB288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EC3E7D"/>
    <w:multiLevelType w:val="hybridMultilevel"/>
    <w:tmpl w:val="065C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7B3668"/>
    <w:multiLevelType w:val="hybridMultilevel"/>
    <w:tmpl w:val="E2B03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1B0D64"/>
    <w:multiLevelType w:val="hybridMultilevel"/>
    <w:tmpl w:val="DB04A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8969FD"/>
    <w:multiLevelType w:val="hybridMultilevel"/>
    <w:tmpl w:val="A1F827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B52390C"/>
    <w:multiLevelType w:val="hybridMultilevel"/>
    <w:tmpl w:val="7A7C6C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CE0870"/>
    <w:multiLevelType w:val="hybridMultilevel"/>
    <w:tmpl w:val="CE8A2A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7"/>
  </w:num>
  <w:num w:numId="4">
    <w:abstractNumId w:val="41"/>
  </w:num>
  <w:num w:numId="5">
    <w:abstractNumId w:val="42"/>
  </w:num>
  <w:num w:numId="6">
    <w:abstractNumId w:val="33"/>
  </w:num>
  <w:num w:numId="7">
    <w:abstractNumId w:val="32"/>
  </w:num>
  <w:num w:numId="8">
    <w:abstractNumId w:val="47"/>
  </w:num>
  <w:num w:numId="9">
    <w:abstractNumId w:val="31"/>
  </w:num>
  <w:num w:numId="10">
    <w:abstractNumId w:val="44"/>
  </w:num>
  <w:num w:numId="11">
    <w:abstractNumId w:val="13"/>
  </w:num>
  <w:num w:numId="12">
    <w:abstractNumId w:val="24"/>
  </w:num>
  <w:num w:numId="13">
    <w:abstractNumId w:val="39"/>
  </w:num>
  <w:num w:numId="14">
    <w:abstractNumId w:val="38"/>
  </w:num>
  <w:num w:numId="15">
    <w:abstractNumId w:val="17"/>
  </w:num>
  <w:num w:numId="16">
    <w:abstractNumId w:val="45"/>
  </w:num>
  <w:num w:numId="17">
    <w:abstractNumId w:val="16"/>
  </w:num>
  <w:num w:numId="18">
    <w:abstractNumId w:val="9"/>
  </w:num>
  <w:num w:numId="19">
    <w:abstractNumId w:val="28"/>
  </w:num>
  <w:num w:numId="20">
    <w:abstractNumId w:val="21"/>
  </w:num>
  <w:num w:numId="21">
    <w:abstractNumId w:val="7"/>
  </w:num>
  <w:num w:numId="22">
    <w:abstractNumId w:val="5"/>
  </w:num>
  <w:num w:numId="23">
    <w:abstractNumId w:val="46"/>
  </w:num>
  <w:num w:numId="24">
    <w:abstractNumId w:val="22"/>
  </w:num>
  <w:num w:numId="25">
    <w:abstractNumId w:val="12"/>
  </w:num>
  <w:num w:numId="26">
    <w:abstractNumId w:val="14"/>
  </w:num>
  <w:num w:numId="27">
    <w:abstractNumId w:val="10"/>
  </w:num>
  <w:num w:numId="28">
    <w:abstractNumId w:val="3"/>
  </w:num>
  <w:num w:numId="29">
    <w:abstractNumId w:val="8"/>
  </w:num>
  <w:num w:numId="30">
    <w:abstractNumId w:val="15"/>
  </w:num>
  <w:num w:numId="31">
    <w:abstractNumId w:val="11"/>
  </w:num>
  <w:num w:numId="32">
    <w:abstractNumId w:val="40"/>
  </w:num>
  <w:num w:numId="33">
    <w:abstractNumId w:val="43"/>
  </w:num>
  <w:num w:numId="34">
    <w:abstractNumId w:val="2"/>
  </w:num>
  <w:num w:numId="35">
    <w:abstractNumId w:val="36"/>
  </w:num>
  <w:num w:numId="36">
    <w:abstractNumId w:val="18"/>
  </w:num>
  <w:num w:numId="37">
    <w:abstractNumId w:val="30"/>
  </w:num>
  <w:num w:numId="38">
    <w:abstractNumId w:val="37"/>
  </w:num>
  <w:num w:numId="39">
    <w:abstractNumId w:val="34"/>
  </w:num>
  <w:num w:numId="40">
    <w:abstractNumId w:val="25"/>
  </w:num>
  <w:num w:numId="41">
    <w:abstractNumId w:val="6"/>
  </w:num>
  <w:num w:numId="42">
    <w:abstractNumId w:val="26"/>
  </w:num>
  <w:num w:numId="43">
    <w:abstractNumId w:val="20"/>
  </w:num>
  <w:num w:numId="44">
    <w:abstractNumId w:val="19"/>
  </w:num>
  <w:num w:numId="45">
    <w:abstractNumId w:val="23"/>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29"/>
  </w:num>
  <w:num w:numId="49">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A90B40"/>
    <w:rsid w:val="0000027B"/>
    <w:rsid w:val="00002282"/>
    <w:rsid w:val="000041C9"/>
    <w:rsid w:val="00010975"/>
    <w:rsid w:val="00010C20"/>
    <w:rsid w:val="00011007"/>
    <w:rsid w:val="00012BB9"/>
    <w:rsid w:val="00021B2F"/>
    <w:rsid w:val="00023056"/>
    <w:rsid w:val="00023625"/>
    <w:rsid w:val="0002392D"/>
    <w:rsid w:val="00026E3E"/>
    <w:rsid w:val="00045C8A"/>
    <w:rsid w:val="00047468"/>
    <w:rsid w:val="00062B02"/>
    <w:rsid w:val="0007336F"/>
    <w:rsid w:val="00076E17"/>
    <w:rsid w:val="00086AF2"/>
    <w:rsid w:val="00096390"/>
    <w:rsid w:val="000A0AC0"/>
    <w:rsid w:val="000B093C"/>
    <w:rsid w:val="000B35ED"/>
    <w:rsid w:val="000C1FED"/>
    <w:rsid w:val="000C7FAF"/>
    <w:rsid w:val="000D06B4"/>
    <w:rsid w:val="000D1C91"/>
    <w:rsid w:val="000D43B0"/>
    <w:rsid w:val="000D7A39"/>
    <w:rsid w:val="000E477F"/>
    <w:rsid w:val="000F31FB"/>
    <w:rsid w:val="000F672D"/>
    <w:rsid w:val="001264CB"/>
    <w:rsid w:val="00127BDA"/>
    <w:rsid w:val="0014497F"/>
    <w:rsid w:val="00151BF3"/>
    <w:rsid w:val="00155B16"/>
    <w:rsid w:val="00177C70"/>
    <w:rsid w:val="0019014F"/>
    <w:rsid w:val="001A3E3A"/>
    <w:rsid w:val="001B3877"/>
    <w:rsid w:val="001C0F42"/>
    <w:rsid w:val="001C72FB"/>
    <w:rsid w:val="001C785C"/>
    <w:rsid w:val="001D72E7"/>
    <w:rsid w:val="001E1246"/>
    <w:rsid w:val="00201FF2"/>
    <w:rsid w:val="00203418"/>
    <w:rsid w:val="0020702D"/>
    <w:rsid w:val="00217CE1"/>
    <w:rsid w:val="00221D6D"/>
    <w:rsid w:val="00223583"/>
    <w:rsid w:val="00254E81"/>
    <w:rsid w:val="002566CB"/>
    <w:rsid w:val="00261584"/>
    <w:rsid w:val="00263AC6"/>
    <w:rsid w:val="002716FC"/>
    <w:rsid w:val="002758D7"/>
    <w:rsid w:val="00294E24"/>
    <w:rsid w:val="00295B21"/>
    <w:rsid w:val="00297AAF"/>
    <w:rsid w:val="002A7A77"/>
    <w:rsid w:val="002C7E57"/>
    <w:rsid w:val="002D11DA"/>
    <w:rsid w:val="002D3963"/>
    <w:rsid w:val="002D68FE"/>
    <w:rsid w:val="002D7892"/>
    <w:rsid w:val="002E5FD3"/>
    <w:rsid w:val="002F1281"/>
    <w:rsid w:val="00300440"/>
    <w:rsid w:val="0030572E"/>
    <w:rsid w:val="00313897"/>
    <w:rsid w:val="003328AE"/>
    <w:rsid w:val="00333B98"/>
    <w:rsid w:val="00356B0C"/>
    <w:rsid w:val="003627C8"/>
    <w:rsid w:val="00363A67"/>
    <w:rsid w:val="00373F26"/>
    <w:rsid w:val="0037537E"/>
    <w:rsid w:val="003A2A82"/>
    <w:rsid w:val="003A4ABA"/>
    <w:rsid w:val="003A6180"/>
    <w:rsid w:val="003B65F3"/>
    <w:rsid w:val="003C223E"/>
    <w:rsid w:val="003C2901"/>
    <w:rsid w:val="003C40B3"/>
    <w:rsid w:val="003C41C4"/>
    <w:rsid w:val="003C4FA6"/>
    <w:rsid w:val="003D0C54"/>
    <w:rsid w:val="003D4CEC"/>
    <w:rsid w:val="003D7375"/>
    <w:rsid w:val="003E3F05"/>
    <w:rsid w:val="003F62A0"/>
    <w:rsid w:val="00405F16"/>
    <w:rsid w:val="004121F5"/>
    <w:rsid w:val="004139C7"/>
    <w:rsid w:val="00414305"/>
    <w:rsid w:val="00442D4C"/>
    <w:rsid w:val="00444937"/>
    <w:rsid w:val="00452063"/>
    <w:rsid w:val="004636ED"/>
    <w:rsid w:val="00465A5E"/>
    <w:rsid w:val="00471122"/>
    <w:rsid w:val="0048165A"/>
    <w:rsid w:val="0049031E"/>
    <w:rsid w:val="00494B98"/>
    <w:rsid w:val="004A244A"/>
    <w:rsid w:val="004A291A"/>
    <w:rsid w:val="004A47F0"/>
    <w:rsid w:val="004B67A5"/>
    <w:rsid w:val="004C5E8D"/>
    <w:rsid w:val="004E784B"/>
    <w:rsid w:val="004F1F83"/>
    <w:rsid w:val="004F45CB"/>
    <w:rsid w:val="0050347C"/>
    <w:rsid w:val="00507D9D"/>
    <w:rsid w:val="00511F84"/>
    <w:rsid w:val="00514BD7"/>
    <w:rsid w:val="0051649A"/>
    <w:rsid w:val="00542522"/>
    <w:rsid w:val="0055031F"/>
    <w:rsid w:val="00553BFA"/>
    <w:rsid w:val="00563E6F"/>
    <w:rsid w:val="00595B08"/>
    <w:rsid w:val="005C236D"/>
    <w:rsid w:val="005E0555"/>
    <w:rsid w:val="005E56E8"/>
    <w:rsid w:val="005F227B"/>
    <w:rsid w:val="005F6D1F"/>
    <w:rsid w:val="0061102E"/>
    <w:rsid w:val="00626746"/>
    <w:rsid w:val="00630FD1"/>
    <w:rsid w:val="00632C2D"/>
    <w:rsid w:val="0063489D"/>
    <w:rsid w:val="0064097D"/>
    <w:rsid w:val="00652188"/>
    <w:rsid w:val="00661FF7"/>
    <w:rsid w:val="00680821"/>
    <w:rsid w:val="00685DF3"/>
    <w:rsid w:val="006A5640"/>
    <w:rsid w:val="006B12DC"/>
    <w:rsid w:val="006B1910"/>
    <w:rsid w:val="006B21FC"/>
    <w:rsid w:val="006C704A"/>
    <w:rsid w:val="006D0CE8"/>
    <w:rsid w:val="006D7D17"/>
    <w:rsid w:val="006E06C6"/>
    <w:rsid w:val="006F2AC6"/>
    <w:rsid w:val="006F3411"/>
    <w:rsid w:val="006F44D2"/>
    <w:rsid w:val="0070271C"/>
    <w:rsid w:val="00715A1E"/>
    <w:rsid w:val="0072328F"/>
    <w:rsid w:val="00742E26"/>
    <w:rsid w:val="00743626"/>
    <w:rsid w:val="00747D0B"/>
    <w:rsid w:val="00752094"/>
    <w:rsid w:val="00752916"/>
    <w:rsid w:val="00773672"/>
    <w:rsid w:val="007749B9"/>
    <w:rsid w:val="00782207"/>
    <w:rsid w:val="007959DF"/>
    <w:rsid w:val="007A0427"/>
    <w:rsid w:val="007A06E2"/>
    <w:rsid w:val="007A5BEB"/>
    <w:rsid w:val="007A6CD8"/>
    <w:rsid w:val="007B0330"/>
    <w:rsid w:val="007B2BEE"/>
    <w:rsid w:val="007B3538"/>
    <w:rsid w:val="007C1CE9"/>
    <w:rsid w:val="007C7937"/>
    <w:rsid w:val="007D4E6B"/>
    <w:rsid w:val="007E0000"/>
    <w:rsid w:val="007E0B2E"/>
    <w:rsid w:val="007E6FBB"/>
    <w:rsid w:val="00807707"/>
    <w:rsid w:val="00807891"/>
    <w:rsid w:val="008106C3"/>
    <w:rsid w:val="00823288"/>
    <w:rsid w:val="00830BCB"/>
    <w:rsid w:val="00846BBA"/>
    <w:rsid w:val="00857089"/>
    <w:rsid w:val="008600A2"/>
    <w:rsid w:val="00866558"/>
    <w:rsid w:val="00891526"/>
    <w:rsid w:val="008A073A"/>
    <w:rsid w:val="008C2CCB"/>
    <w:rsid w:val="008E1A21"/>
    <w:rsid w:val="008E25E1"/>
    <w:rsid w:val="008F3298"/>
    <w:rsid w:val="00900ED0"/>
    <w:rsid w:val="009061DA"/>
    <w:rsid w:val="00906C39"/>
    <w:rsid w:val="00906D30"/>
    <w:rsid w:val="009075D5"/>
    <w:rsid w:val="00917E09"/>
    <w:rsid w:val="00917F47"/>
    <w:rsid w:val="00935D62"/>
    <w:rsid w:val="00936C61"/>
    <w:rsid w:val="0095694B"/>
    <w:rsid w:val="009611D3"/>
    <w:rsid w:val="00975FC3"/>
    <w:rsid w:val="0098038E"/>
    <w:rsid w:val="00991C96"/>
    <w:rsid w:val="00997951"/>
    <w:rsid w:val="009A02F9"/>
    <w:rsid w:val="009A3BD4"/>
    <w:rsid w:val="009A7486"/>
    <w:rsid w:val="009B2C6B"/>
    <w:rsid w:val="00A03718"/>
    <w:rsid w:val="00A10ED5"/>
    <w:rsid w:val="00A15608"/>
    <w:rsid w:val="00A16453"/>
    <w:rsid w:val="00A17B05"/>
    <w:rsid w:val="00A20065"/>
    <w:rsid w:val="00A21E48"/>
    <w:rsid w:val="00A33B12"/>
    <w:rsid w:val="00A35E79"/>
    <w:rsid w:val="00A43009"/>
    <w:rsid w:val="00A44A45"/>
    <w:rsid w:val="00A44E0D"/>
    <w:rsid w:val="00A518FD"/>
    <w:rsid w:val="00A53680"/>
    <w:rsid w:val="00A60879"/>
    <w:rsid w:val="00A73B1F"/>
    <w:rsid w:val="00A741C9"/>
    <w:rsid w:val="00A83603"/>
    <w:rsid w:val="00A90094"/>
    <w:rsid w:val="00A9040A"/>
    <w:rsid w:val="00A90B40"/>
    <w:rsid w:val="00A91DDD"/>
    <w:rsid w:val="00AA0C75"/>
    <w:rsid w:val="00AA24C7"/>
    <w:rsid w:val="00AB0007"/>
    <w:rsid w:val="00AD1BD8"/>
    <w:rsid w:val="00B003C1"/>
    <w:rsid w:val="00B05779"/>
    <w:rsid w:val="00B06596"/>
    <w:rsid w:val="00B166AF"/>
    <w:rsid w:val="00B166D6"/>
    <w:rsid w:val="00B2394F"/>
    <w:rsid w:val="00B247B2"/>
    <w:rsid w:val="00B2503A"/>
    <w:rsid w:val="00B4098E"/>
    <w:rsid w:val="00B45529"/>
    <w:rsid w:val="00B53FDD"/>
    <w:rsid w:val="00B572C6"/>
    <w:rsid w:val="00B6000D"/>
    <w:rsid w:val="00B70B9E"/>
    <w:rsid w:val="00B72935"/>
    <w:rsid w:val="00B75681"/>
    <w:rsid w:val="00B777BD"/>
    <w:rsid w:val="00B81D09"/>
    <w:rsid w:val="00B82777"/>
    <w:rsid w:val="00B8437D"/>
    <w:rsid w:val="00B84482"/>
    <w:rsid w:val="00B97756"/>
    <w:rsid w:val="00BA515B"/>
    <w:rsid w:val="00BA5B29"/>
    <w:rsid w:val="00BA61B2"/>
    <w:rsid w:val="00BA7FD3"/>
    <w:rsid w:val="00BB1CB8"/>
    <w:rsid w:val="00BB2A34"/>
    <w:rsid w:val="00BB42A0"/>
    <w:rsid w:val="00BB7F0B"/>
    <w:rsid w:val="00BC001B"/>
    <w:rsid w:val="00BC5D00"/>
    <w:rsid w:val="00BC7697"/>
    <w:rsid w:val="00BD1B8E"/>
    <w:rsid w:val="00BD2319"/>
    <w:rsid w:val="00BD405D"/>
    <w:rsid w:val="00BE3153"/>
    <w:rsid w:val="00BF06C8"/>
    <w:rsid w:val="00BF25F2"/>
    <w:rsid w:val="00C06A58"/>
    <w:rsid w:val="00C123A3"/>
    <w:rsid w:val="00C12CC1"/>
    <w:rsid w:val="00C130FD"/>
    <w:rsid w:val="00C13682"/>
    <w:rsid w:val="00C17665"/>
    <w:rsid w:val="00C21F49"/>
    <w:rsid w:val="00C259CC"/>
    <w:rsid w:val="00C4651B"/>
    <w:rsid w:val="00C63345"/>
    <w:rsid w:val="00C64555"/>
    <w:rsid w:val="00C72562"/>
    <w:rsid w:val="00C74DF7"/>
    <w:rsid w:val="00C770AF"/>
    <w:rsid w:val="00C82007"/>
    <w:rsid w:val="00C9145D"/>
    <w:rsid w:val="00C922E4"/>
    <w:rsid w:val="00CA764E"/>
    <w:rsid w:val="00CB1FD8"/>
    <w:rsid w:val="00CB3BD0"/>
    <w:rsid w:val="00CC2D11"/>
    <w:rsid w:val="00CC7817"/>
    <w:rsid w:val="00CD1AFA"/>
    <w:rsid w:val="00CF4C18"/>
    <w:rsid w:val="00CF7165"/>
    <w:rsid w:val="00D03604"/>
    <w:rsid w:val="00D14C8D"/>
    <w:rsid w:val="00D1674B"/>
    <w:rsid w:val="00D21FF0"/>
    <w:rsid w:val="00D26295"/>
    <w:rsid w:val="00D30D28"/>
    <w:rsid w:val="00D331C4"/>
    <w:rsid w:val="00D34BBE"/>
    <w:rsid w:val="00D46031"/>
    <w:rsid w:val="00D75C30"/>
    <w:rsid w:val="00D834CD"/>
    <w:rsid w:val="00D87BD7"/>
    <w:rsid w:val="00DA5C72"/>
    <w:rsid w:val="00DB7095"/>
    <w:rsid w:val="00DB79FC"/>
    <w:rsid w:val="00DE11A5"/>
    <w:rsid w:val="00DE2497"/>
    <w:rsid w:val="00DE704F"/>
    <w:rsid w:val="00DF1A48"/>
    <w:rsid w:val="00DF2B3A"/>
    <w:rsid w:val="00E0042A"/>
    <w:rsid w:val="00E02907"/>
    <w:rsid w:val="00E03DB6"/>
    <w:rsid w:val="00E20856"/>
    <w:rsid w:val="00E21410"/>
    <w:rsid w:val="00E24E91"/>
    <w:rsid w:val="00E26550"/>
    <w:rsid w:val="00E40172"/>
    <w:rsid w:val="00E50506"/>
    <w:rsid w:val="00E57113"/>
    <w:rsid w:val="00E90053"/>
    <w:rsid w:val="00E906CD"/>
    <w:rsid w:val="00EA22A7"/>
    <w:rsid w:val="00EA7D36"/>
    <w:rsid w:val="00EB49B5"/>
    <w:rsid w:val="00EB676C"/>
    <w:rsid w:val="00EC1F6D"/>
    <w:rsid w:val="00EC714F"/>
    <w:rsid w:val="00ED3E09"/>
    <w:rsid w:val="00ED6A4B"/>
    <w:rsid w:val="00EF1DA0"/>
    <w:rsid w:val="00F00328"/>
    <w:rsid w:val="00F07F33"/>
    <w:rsid w:val="00F144E7"/>
    <w:rsid w:val="00F20CDD"/>
    <w:rsid w:val="00F24733"/>
    <w:rsid w:val="00F45BC7"/>
    <w:rsid w:val="00F61A33"/>
    <w:rsid w:val="00F629DB"/>
    <w:rsid w:val="00F6433A"/>
    <w:rsid w:val="00F64404"/>
    <w:rsid w:val="00F77EFF"/>
    <w:rsid w:val="00F9199F"/>
    <w:rsid w:val="00F94799"/>
    <w:rsid w:val="00FA2813"/>
    <w:rsid w:val="00FA63C0"/>
    <w:rsid w:val="00FA6A1C"/>
    <w:rsid w:val="00FB4590"/>
    <w:rsid w:val="00FC404F"/>
    <w:rsid w:val="00FF16EC"/>
    <w:rsid w:val="00FF3D13"/>
    <w:rsid w:val="00FF559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DCA834-7AE1-4B91-8FC2-A784AC56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47C"/>
    <w:rPr>
      <w:sz w:val="24"/>
      <w:szCs w:val="24"/>
      <w:lang w:eastAsia="zh-CN"/>
    </w:rPr>
  </w:style>
  <w:style w:type="paragraph" w:styleId="Heading1">
    <w:name w:val="heading 1"/>
    <w:basedOn w:val="Normal"/>
    <w:next w:val="Normal"/>
    <w:link w:val="Heading1Char"/>
    <w:qFormat/>
    <w:rsid w:val="00A9040A"/>
    <w:pPr>
      <w:keepNext/>
      <w:outlineLvl w:val="0"/>
    </w:pPr>
    <w:rPr>
      <w:rFonts w:eastAsia="Times New Roman"/>
      <w:b/>
      <w:sz w:val="32"/>
      <w:szCs w:val="20"/>
      <w:lang w:eastAsia="en-US"/>
    </w:rPr>
  </w:style>
  <w:style w:type="paragraph" w:styleId="Heading2">
    <w:name w:val="heading 2"/>
    <w:basedOn w:val="Normal"/>
    <w:next w:val="Normal"/>
    <w:link w:val="Heading2Char"/>
    <w:uiPriority w:val="9"/>
    <w:semiHidden/>
    <w:unhideWhenUsed/>
    <w:qFormat/>
    <w:rsid w:val="00A9040A"/>
    <w:pPr>
      <w:keepNext/>
      <w:keepLines/>
      <w:spacing w:before="200"/>
      <w:outlineLvl w:val="1"/>
    </w:pPr>
    <w:rPr>
      <w:rFonts w:ascii="Cambria" w:eastAsia="Times New Roman" w:hAnsi="Cambria"/>
      <w:b/>
      <w:bCs/>
      <w:color w:val="4F81BD"/>
      <w:sz w:val="26"/>
      <w:szCs w:val="26"/>
      <w:lang w:eastAsia="en-US"/>
    </w:rPr>
  </w:style>
  <w:style w:type="paragraph" w:styleId="Heading4">
    <w:name w:val="heading 4"/>
    <w:basedOn w:val="Normal"/>
    <w:next w:val="Normal"/>
    <w:link w:val="Heading4Char"/>
    <w:qFormat/>
    <w:rsid w:val="00A9040A"/>
    <w:pPr>
      <w:keepNext/>
      <w:outlineLvl w:val="3"/>
    </w:pPr>
    <w:rPr>
      <w:rFonts w:eastAsia="Times New Roman"/>
      <w:szCs w:val="20"/>
      <w:lang w:eastAsia="en-US"/>
    </w:rPr>
  </w:style>
  <w:style w:type="paragraph" w:styleId="Heading5">
    <w:name w:val="heading 5"/>
    <w:basedOn w:val="Normal"/>
    <w:next w:val="Normal"/>
    <w:link w:val="Heading5Char"/>
    <w:qFormat/>
    <w:rsid w:val="00A9040A"/>
    <w:pPr>
      <w:keepNext/>
      <w:outlineLvl w:val="4"/>
    </w:pPr>
    <w:rPr>
      <w:rFonts w:eastAsia="Times New Roman"/>
      <w:szCs w:val="20"/>
      <w:u w:val="single"/>
      <w:lang w:eastAsia="en-US"/>
    </w:rPr>
  </w:style>
  <w:style w:type="paragraph" w:styleId="Heading7">
    <w:name w:val="heading 7"/>
    <w:basedOn w:val="Normal"/>
    <w:next w:val="Normal"/>
    <w:link w:val="Heading7Char"/>
    <w:qFormat/>
    <w:rsid w:val="00A9040A"/>
    <w:pPr>
      <w:keepNext/>
      <w:outlineLvl w:val="6"/>
    </w:pPr>
    <w:rPr>
      <w:rFonts w:eastAsia="Times New Roman"/>
      <w:b/>
      <w:szCs w:val="20"/>
      <w:lang w:eastAsia="en-US"/>
    </w:rPr>
  </w:style>
  <w:style w:type="paragraph" w:styleId="Heading8">
    <w:name w:val="heading 8"/>
    <w:basedOn w:val="Normal"/>
    <w:next w:val="Normal"/>
    <w:link w:val="Heading8Char"/>
    <w:qFormat/>
    <w:rsid w:val="00A9040A"/>
    <w:pPr>
      <w:keepNext/>
      <w:jc w:val="both"/>
      <w:outlineLvl w:val="7"/>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1FB"/>
    <w:pPr>
      <w:spacing w:after="200" w:line="276" w:lineRule="auto"/>
      <w:ind w:left="720"/>
      <w:contextualSpacing/>
    </w:pPr>
    <w:rPr>
      <w:rFonts w:ascii="Calibri" w:eastAsia="Times New Roman" w:hAnsi="Calibri"/>
      <w:sz w:val="22"/>
      <w:szCs w:val="22"/>
      <w:lang w:eastAsia="en-US"/>
    </w:rPr>
  </w:style>
  <w:style w:type="paragraph" w:customStyle="1" w:styleId="Chapcap">
    <w:name w:val="Chapcap"/>
    <w:basedOn w:val="Normal"/>
    <w:rsid w:val="002D68FE"/>
    <w:pPr>
      <w:keepNext/>
      <w:widowControl w:val="0"/>
      <w:spacing w:before="480" w:after="160"/>
      <w:ind w:left="567"/>
      <w:outlineLvl w:val="1"/>
    </w:pPr>
    <w:rPr>
      <w:rFonts w:ascii="Abadi MT Condensed" w:eastAsia="MS Mincho" w:hAnsi="Abadi MT Condensed"/>
      <w:sz w:val="40"/>
      <w:szCs w:val="19"/>
      <w:lang w:val="en-GB" w:eastAsia="en-US"/>
    </w:rPr>
  </w:style>
  <w:style w:type="character" w:customStyle="1" w:styleId="Heading1CharChar">
    <w:name w:val="Heading 1 Char Char"/>
    <w:basedOn w:val="DefaultParagraphFont"/>
    <w:rsid w:val="002D68FE"/>
    <w:rPr>
      <w:rFonts w:ascii="Abadi MT Condensed Extra Bold" w:eastAsia="MS Mincho" w:hAnsi="Abadi MT Condensed Extra Bold" w:cs="Arial"/>
      <w:bCs/>
      <w:caps/>
      <w:sz w:val="24"/>
      <w:szCs w:val="22"/>
      <w:lang w:val="en-GB" w:eastAsia="en-US" w:bidi="ar-SA"/>
    </w:rPr>
  </w:style>
  <w:style w:type="paragraph" w:styleId="Header">
    <w:name w:val="header"/>
    <w:basedOn w:val="Normal"/>
    <w:link w:val="HeaderChar"/>
    <w:uiPriority w:val="99"/>
    <w:unhideWhenUsed/>
    <w:rsid w:val="000D1C91"/>
    <w:pPr>
      <w:tabs>
        <w:tab w:val="center" w:pos="4680"/>
        <w:tab w:val="right" w:pos="9360"/>
      </w:tabs>
    </w:pPr>
  </w:style>
  <w:style w:type="character" w:customStyle="1" w:styleId="HeaderChar">
    <w:name w:val="Header Char"/>
    <w:basedOn w:val="DefaultParagraphFont"/>
    <w:link w:val="Header"/>
    <w:uiPriority w:val="99"/>
    <w:rsid w:val="000D1C91"/>
    <w:rPr>
      <w:sz w:val="24"/>
      <w:szCs w:val="24"/>
      <w:lang w:eastAsia="zh-CN"/>
    </w:rPr>
  </w:style>
  <w:style w:type="paragraph" w:styleId="Footer">
    <w:name w:val="footer"/>
    <w:basedOn w:val="Normal"/>
    <w:link w:val="FooterChar"/>
    <w:uiPriority w:val="99"/>
    <w:unhideWhenUsed/>
    <w:rsid w:val="000D1C91"/>
    <w:pPr>
      <w:tabs>
        <w:tab w:val="center" w:pos="4680"/>
        <w:tab w:val="right" w:pos="9360"/>
      </w:tabs>
    </w:pPr>
  </w:style>
  <w:style w:type="character" w:customStyle="1" w:styleId="FooterChar">
    <w:name w:val="Footer Char"/>
    <w:basedOn w:val="DefaultParagraphFont"/>
    <w:link w:val="Footer"/>
    <w:uiPriority w:val="99"/>
    <w:rsid w:val="000D1C91"/>
    <w:rPr>
      <w:sz w:val="24"/>
      <w:szCs w:val="24"/>
      <w:lang w:eastAsia="zh-CN"/>
    </w:rPr>
  </w:style>
  <w:style w:type="paragraph" w:styleId="BalloonText">
    <w:name w:val="Balloon Text"/>
    <w:basedOn w:val="Normal"/>
    <w:link w:val="BalloonTextChar"/>
    <w:uiPriority w:val="99"/>
    <w:semiHidden/>
    <w:unhideWhenUsed/>
    <w:rsid w:val="006D7D17"/>
    <w:rPr>
      <w:rFonts w:ascii="Tahoma" w:hAnsi="Tahoma" w:cs="Tahoma"/>
      <w:sz w:val="16"/>
      <w:szCs w:val="16"/>
    </w:rPr>
  </w:style>
  <w:style w:type="character" w:customStyle="1" w:styleId="BalloonTextChar">
    <w:name w:val="Balloon Text Char"/>
    <w:basedOn w:val="DefaultParagraphFont"/>
    <w:link w:val="BalloonText"/>
    <w:uiPriority w:val="99"/>
    <w:semiHidden/>
    <w:rsid w:val="006D7D17"/>
    <w:rPr>
      <w:rFonts w:ascii="Tahoma" w:hAnsi="Tahoma" w:cs="Tahoma"/>
      <w:sz w:val="16"/>
      <w:szCs w:val="16"/>
      <w:lang w:eastAsia="zh-CN"/>
    </w:rPr>
  </w:style>
  <w:style w:type="character" w:customStyle="1" w:styleId="Heading1Char">
    <w:name w:val="Heading 1 Char"/>
    <w:basedOn w:val="DefaultParagraphFont"/>
    <w:link w:val="Heading1"/>
    <w:rsid w:val="00A9040A"/>
    <w:rPr>
      <w:rFonts w:eastAsia="Times New Roman"/>
      <w:b/>
      <w:sz w:val="32"/>
    </w:rPr>
  </w:style>
  <w:style w:type="character" w:customStyle="1" w:styleId="Heading2Char">
    <w:name w:val="Heading 2 Char"/>
    <w:basedOn w:val="DefaultParagraphFont"/>
    <w:link w:val="Heading2"/>
    <w:uiPriority w:val="9"/>
    <w:semiHidden/>
    <w:rsid w:val="00A9040A"/>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rsid w:val="00A9040A"/>
    <w:rPr>
      <w:rFonts w:eastAsia="Times New Roman"/>
      <w:sz w:val="24"/>
    </w:rPr>
  </w:style>
  <w:style w:type="character" w:customStyle="1" w:styleId="Heading5Char">
    <w:name w:val="Heading 5 Char"/>
    <w:basedOn w:val="DefaultParagraphFont"/>
    <w:link w:val="Heading5"/>
    <w:rsid w:val="00A9040A"/>
    <w:rPr>
      <w:rFonts w:eastAsia="Times New Roman"/>
      <w:sz w:val="24"/>
      <w:u w:val="single"/>
    </w:rPr>
  </w:style>
  <w:style w:type="character" w:customStyle="1" w:styleId="Heading7Char">
    <w:name w:val="Heading 7 Char"/>
    <w:basedOn w:val="DefaultParagraphFont"/>
    <w:link w:val="Heading7"/>
    <w:rsid w:val="00A9040A"/>
    <w:rPr>
      <w:rFonts w:eastAsia="Times New Roman"/>
      <w:b/>
      <w:sz w:val="24"/>
    </w:rPr>
  </w:style>
  <w:style w:type="character" w:customStyle="1" w:styleId="Heading8Char">
    <w:name w:val="Heading 8 Char"/>
    <w:basedOn w:val="DefaultParagraphFont"/>
    <w:link w:val="Heading8"/>
    <w:rsid w:val="00A9040A"/>
    <w:rPr>
      <w:rFonts w:eastAsia="Times New Roman"/>
      <w:b/>
      <w:sz w:val="24"/>
    </w:rPr>
  </w:style>
  <w:style w:type="paragraph" w:styleId="Title">
    <w:name w:val="Title"/>
    <w:basedOn w:val="Normal"/>
    <w:link w:val="TitleChar"/>
    <w:qFormat/>
    <w:rsid w:val="00A9040A"/>
    <w:pPr>
      <w:jc w:val="center"/>
    </w:pPr>
    <w:rPr>
      <w:rFonts w:eastAsia="Times New Roman"/>
      <w:b/>
      <w:szCs w:val="20"/>
      <w:lang w:eastAsia="en-US"/>
    </w:rPr>
  </w:style>
  <w:style w:type="character" w:customStyle="1" w:styleId="TitleChar">
    <w:name w:val="Title Char"/>
    <w:basedOn w:val="DefaultParagraphFont"/>
    <w:link w:val="Title"/>
    <w:rsid w:val="00A9040A"/>
    <w:rPr>
      <w:rFonts w:eastAsia="Times New Roman"/>
      <w:b/>
      <w:sz w:val="24"/>
    </w:rPr>
  </w:style>
  <w:style w:type="paragraph" w:styleId="NoSpacing">
    <w:name w:val="No Spacing"/>
    <w:uiPriority w:val="1"/>
    <w:qFormat/>
    <w:rsid w:val="002566C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MID-WESTERN UNIVERSITY, FACULTY OF MANAGEMENT, MASTER IN BUSINESS STUDIES (MBS)</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UNIVERSITY, FACULTY OF MANAGEMENT, MASTER IN BUSINESS STUDIES (MBS)</dc:title>
  <dc:creator>raju</dc:creator>
  <cp:lastModifiedBy>Acer</cp:lastModifiedBy>
  <cp:revision>72</cp:revision>
  <cp:lastPrinted>2013-08-22T21:22:00Z</cp:lastPrinted>
  <dcterms:created xsi:type="dcterms:W3CDTF">2014-03-06T16:54:00Z</dcterms:created>
  <dcterms:modified xsi:type="dcterms:W3CDTF">2020-01-03T03:00:00Z</dcterms:modified>
</cp:coreProperties>
</file>